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35"/>
        <w:gridCol w:w="3980"/>
      </w:tblGrid>
      <w:tr w:rsidR="0007250E" w:rsidRPr="0091484F" w14:paraId="55AA798F" w14:textId="77777777" w:rsidTr="0046056C">
        <w:trPr>
          <w:trHeight w:val="30"/>
          <w:tblCellSpacing w:w="0" w:type="auto"/>
        </w:trPr>
        <w:tc>
          <w:tcPr>
            <w:tcW w:w="6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80443" w14:textId="77777777" w:rsidR="0007250E" w:rsidRPr="00BE3B8F" w:rsidRDefault="0007250E" w:rsidP="00855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3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C345B" w14:textId="77777777" w:rsidR="00E070B6" w:rsidRDefault="0007250E" w:rsidP="00855E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Appendix 1</w:t>
            </w:r>
            <w:r w:rsidRPr="00E070B6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E070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to the Rules for awarding</w:t>
            </w:r>
            <w:r w:rsidRPr="00E070B6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E070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academic titles </w:t>
            </w:r>
          </w:p>
          <w:p w14:paraId="7078643D" w14:textId="18DCBE46" w:rsidR="0007250E" w:rsidRPr="00E070B6" w:rsidRDefault="0007250E" w:rsidP="00855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(Professor, Associate Professor)</w:t>
            </w:r>
          </w:p>
        </w:tc>
      </w:tr>
    </w:tbl>
    <w:p w14:paraId="08065777" w14:textId="08B97B47" w:rsidR="0046056C" w:rsidRPr="00E070B6" w:rsidRDefault="0046056C" w:rsidP="00460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z59"/>
      <w:r w:rsidRPr="00E070B6">
        <w:rPr>
          <w:rFonts w:ascii="Times New Roman" w:eastAsia="Times New Roman" w:hAnsi="Times New Roman" w:cs="Times New Roman"/>
          <w:color w:val="000000"/>
          <w:sz w:val="24"/>
          <w:szCs w:val="24"/>
        </w:rPr>
        <w:t>Reference</w:t>
      </w:r>
    </w:p>
    <w:bookmarkEnd w:id="0"/>
    <w:p w14:paraId="76563503" w14:textId="2FFFE376" w:rsidR="0046056C" w:rsidRPr="00E070B6" w:rsidRDefault="0046056C" w:rsidP="004605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07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about the candidate for the academic title </w:t>
      </w:r>
      <w:r w:rsidR="00BD27AD" w:rsidRPr="00E070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Professor</w:t>
      </w:r>
    </w:p>
    <w:p w14:paraId="643CAA8D" w14:textId="01A3FE45" w:rsidR="0046056C" w:rsidRPr="00E070B6" w:rsidRDefault="0046056C" w:rsidP="00460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07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direction </w:t>
      </w:r>
      <w:r w:rsidR="00A3789A" w:rsidRPr="00E070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of 20000 Technical sciences</w:t>
      </w:r>
      <w:r w:rsidRPr="00E070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898C3C2" w14:textId="77777777" w:rsidR="0084178E" w:rsidRPr="00E070B6" w:rsidRDefault="0084178E" w:rsidP="00841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070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</w:t>
      </w:r>
      <w:r w:rsidRPr="00E070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21201 Multidisciplinary Engineering</w:t>
      </w:r>
      <w:r w:rsidRPr="00E070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55CF94D8" w14:textId="77777777" w:rsidR="0046056C" w:rsidRPr="00E070B6" w:rsidRDefault="0046056C" w:rsidP="004605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</w:pPr>
      <w:r w:rsidRPr="00E070B6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  <w:t>(code and name of the specialty)</w:t>
      </w:r>
    </w:p>
    <w:p w14:paraId="178E0899" w14:textId="77777777" w:rsidR="0007250E" w:rsidRPr="00E070B6" w:rsidRDefault="0007250E" w:rsidP="00855E9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</w:p>
    <w:tbl>
      <w:tblPr>
        <w:tblW w:w="106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376"/>
        <w:gridCol w:w="6784"/>
      </w:tblGrid>
      <w:tr w:rsidR="0057044B" w:rsidRPr="001C0751" w14:paraId="5F4D6ADF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C9F29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CFF9" w14:textId="77777777" w:rsidR="0007250E" w:rsidRPr="00E070B6" w:rsidRDefault="0007250E" w:rsidP="000D7B9B">
            <w:pPr>
              <w:spacing w:after="0" w:line="240" w:lineRule="auto"/>
              <w:ind w:left="60"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Surname, first name, patronymic (if any)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D0CB5" w14:textId="30B9B9A9" w:rsidR="00F2354F" w:rsidRPr="00E070B6" w:rsidRDefault="00E070B6" w:rsidP="00E070B6">
            <w:pPr>
              <w:spacing w:after="0" w:line="240" w:lineRule="auto"/>
              <w:ind w:left="71" w:right="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070B6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Musayev Janat Sultanbekovich</w:t>
            </w:r>
          </w:p>
        </w:tc>
      </w:tr>
      <w:tr w:rsidR="0057044B" w:rsidRPr="0091484F" w14:paraId="1016B921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9D52A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3722A" w14:textId="77777777" w:rsidR="0007250E" w:rsidRPr="00E070B6" w:rsidRDefault="0046056C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degree (Candidate of Sciences, Doctor of Sciences, Doctor of Philosophy (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r w:rsidRPr="00E070B6">
              <w:rPr>
                <w:rFonts w:ascii="Times New Roman" w:eastAsia="Times New Roman" w:hAnsi="Times New Roman" w:cs="Times New Roman"/>
                <w:sz w:val="24"/>
                <w:szCs w:val="24"/>
              </w:rPr>
              <w:t>), Doctor of profile) or academic degree of Doctor of Philosophy (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r w:rsidRPr="00E070B6">
              <w:rPr>
                <w:rFonts w:ascii="Times New Roman" w:eastAsia="Times New Roman" w:hAnsi="Times New Roman" w:cs="Times New Roman"/>
                <w:sz w:val="24"/>
                <w:szCs w:val="24"/>
              </w:rPr>
              <w:t>), Doctor of profile or degree of Doctor of Philosophy (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r w:rsidRPr="00E070B6">
              <w:rPr>
                <w:rFonts w:ascii="Times New Roman" w:eastAsia="Times New Roman" w:hAnsi="Times New Roman" w:cs="Times New Roman"/>
                <w:sz w:val="24"/>
                <w:szCs w:val="24"/>
              </w:rPr>
              <w:t>), Doctor of profile, date of awarding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BCAA5" w14:textId="77777777" w:rsidR="00A3789A" w:rsidRPr="00E070B6" w:rsidRDefault="00A3789A" w:rsidP="00A3789A">
            <w:pPr>
              <w:spacing w:after="0" w:line="240" w:lineRule="auto"/>
              <w:ind w:left="71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Candidate of Technical Sciences (Protocol No. 7 of 27.09.2007, MES RK,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GK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# 0000583);</w:t>
            </w:r>
          </w:p>
          <w:p w14:paraId="79920C39" w14:textId="7DD02859" w:rsidR="00F2354F" w:rsidRPr="00E070B6" w:rsidRDefault="00A3789A" w:rsidP="00A3789A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Doctor of Technical Sciences (Protocol # 1 of 13.01.2012, MES RK,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GD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# 0001524) </w:t>
            </w:r>
          </w:p>
          <w:p w14:paraId="72EBEFD3" w14:textId="77777777" w:rsidR="00F2354F" w:rsidRPr="00E070B6" w:rsidRDefault="00F2354F" w:rsidP="000D7B9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C5B13" w14:textId="7DC6DFC2" w:rsidR="00F2354F" w:rsidRPr="00E070B6" w:rsidRDefault="00A3789A" w:rsidP="000D7B9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ED79F" w14:textId="77777777" w:rsidR="00F2354F" w:rsidRPr="00E070B6" w:rsidRDefault="00F2354F" w:rsidP="000D7B9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2C1F0" w14:textId="47D4C1C1" w:rsidR="00F2354F" w:rsidRPr="00E070B6" w:rsidRDefault="00F2354F" w:rsidP="000D7B9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4B" w:rsidRPr="0091484F" w14:paraId="219F80E8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8EF85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99491" w14:textId="77777777" w:rsidR="0007250E" w:rsidRPr="00E070B6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 title, date of award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52A95" w14:textId="4D85D580" w:rsidR="0007250E" w:rsidRPr="00E070B6" w:rsidRDefault="00A3789A" w:rsidP="00A3789A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Associate Professor in the specialty "Transport" (Protocol #5 of 21.05.2009, MES RK, # 0001021)</w:t>
            </w:r>
          </w:p>
        </w:tc>
      </w:tr>
      <w:tr w:rsidR="0057044B" w:rsidRPr="001C0751" w14:paraId="4DC3F0BB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0FD26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C95D7" w14:textId="77777777" w:rsidR="0007250E" w:rsidRPr="00E070B6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Honorary title, date of award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1679" w14:textId="07A5CA42" w:rsidR="00D8234E" w:rsidRPr="001C0751" w:rsidRDefault="00A3789A" w:rsidP="00A3789A">
            <w:pPr>
              <w:spacing w:after="0" w:line="240" w:lineRule="auto"/>
              <w:ind w:left="71" w:righ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No</w:t>
            </w:r>
          </w:p>
        </w:tc>
      </w:tr>
      <w:tr w:rsidR="0057044B" w:rsidRPr="0091484F" w14:paraId="3912602F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7086D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B3D46" w14:textId="77777777" w:rsidR="0007250E" w:rsidRPr="00E070B6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Position (date and number of the order of appointment to the position)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0E372" w14:textId="3DA448EF" w:rsidR="00F2354F" w:rsidRPr="00E070B6" w:rsidRDefault="00A3789A" w:rsidP="00A3789A">
            <w:pPr>
              <w:pStyle w:val="a4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Professor of </w:t>
            </w:r>
            <w:r w:rsidR="00E070B6">
              <w:rPr>
                <w:rFonts w:ascii="Times New Roman" w:hAnsi="Times New Roman" w:cs="Times New Roman"/>
                <w:sz w:val="24"/>
                <w:szCs w:val="24"/>
              </w:rPr>
              <w:t>KazATС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 (order No. 121 of 06.02.2012) </w:t>
            </w:r>
          </w:p>
        </w:tc>
      </w:tr>
      <w:tr w:rsidR="0057044B" w:rsidRPr="0091484F" w14:paraId="2BE80815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0C7C4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C51C3" w14:textId="77777777" w:rsidR="0007250E" w:rsidRPr="00E070B6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Experience of scientific, scientific and pedagogical activity 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F2FC2" w14:textId="5EC92BA5" w:rsidR="00F2354F" w:rsidRPr="00E070B6" w:rsidRDefault="006C4693" w:rsidP="00BB710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Scientific and pedagogical experience </w:t>
            </w:r>
            <w:r w:rsidR="00A3789A" w:rsidRPr="00E070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of 23</w:t>
            </w:r>
            <w:r w:rsidR="002A0460"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years, including as a professor of OVPO</w:t>
            </w:r>
            <w:r w:rsidR="00C03522" w:rsidRPr="00E070B6">
              <w:rPr>
                <w:rFonts w:ascii="Times New Roman" w:hAnsi="Times New Roman" w:cs="Times New Roman"/>
                <w:sz w:val="24"/>
                <w:szCs w:val="24"/>
              </w:rPr>
              <w:t>12 years as a professor of OVPO</w:t>
            </w:r>
            <w:r w:rsidR="00F069C3"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3789A" w:rsidRPr="00E07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years</w:t>
            </w:r>
            <w:r w:rsidR="00F069C3"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7044B" w:rsidRPr="0091484F" w14:paraId="6291515A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AE8F7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835AF" w14:textId="085EE74C" w:rsidR="0007250E" w:rsidRPr="00E070B6" w:rsidRDefault="0046056C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of scientific articles after receiving </w:t>
            </w:r>
            <w:r w:rsidR="001C6F76"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academic title (associate</w:t>
            </w:r>
            <w:r w:rsidR="001C6F76" w:rsidRPr="00E070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6F76"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professor (associate professor)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0280F" w14:textId="40F2C634" w:rsidR="00934A14" w:rsidRPr="00E070B6" w:rsidRDefault="00934A14" w:rsidP="000D7B9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total-</w:t>
            </w:r>
            <w:r w:rsidRPr="00E07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07DA2" w:rsidRPr="00E07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99</w:t>
            </w: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29D84BF" w14:textId="7617EE56" w:rsidR="00934A14" w:rsidRPr="00E070B6" w:rsidRDefault="00934A14" w:rsidP="000D7B9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07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publications recommended by the authorized body-</w:t>
            </w:r>
            <w:r w:rsidRPr="00E07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  <w:r w:rsidR="000D7B9B"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FFA36D3" w14:textId="6E5948CA" w:rsidR="0007250E" w:rsidRPr="00E070B6" w:rsidRDefault="00934A14" w:rsidP="000D7B9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07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C7D9A" w:rsidRPr="00E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scientific journals included in the databases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 Clarivate</w:t>
            </w:r>
            <w:r w:rsidR="00EC7D9A" w:rsidRPr="00E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Analytics</w:t>
            </w:r>
            <w:r w:rsidR="00EC7D9A" w:rsidRPr="00E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r w:rsidR="00EC7D9A" w:rsidRPr="00E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EC7D9A" w:rsidRPr="00E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="00EC7D9A" w:rsidRPr="00E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</w:t>
            </w:r>
            <w:r w:rsidR="00EC7D9A" w:rsidRPr="00E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="00EC7D9A" w:rsidRPr="00E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Clarivate</w:t>
            </w:r>
            <w:r w:rsidR="00EC7D9A" w:rsidRPr="00E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Analytics</w:t>
            </w:r>
            <w:r w:rsidR="00EC7D9A" w:rsidRPr="00E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(Web of Science Core Collection, Clarivate Analytics)) </w:t>
            </w:r>
            <w:r w:rsidR="0091484F" w:rsidRPr="00E07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</w:t>
            </w:r>
            <w:r w:rsidR="00EC7D9A" w:rsidRPr="00E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="00EC7D9A" w:rsidRPr="00E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(Scopus) or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JSTOR</w:t>
            </w:r>
            <w:r w:rsidR="00EC7D9A" w:rsidRPr="00E07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(JSTOR) </w:t>
            </w: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percentile for </w:t>
            </w: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Cite</w:t>
            </w: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Score</w:t>
            </w: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at least 50 in at least one of the scientific fields – </w:t>
            </w:r>
            <w:r w:rsidR="0091484F" w:rsidRPr="00E070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4</w:t>
            </w: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33E92C5" w14:textId="7A82A490" w:rsidR="00F2354F" w:rsidRPr="00E070B6" w:rsidRDefault="0091484F" w:rsidP="00BB710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42DCF" w:rsidRPr="00E07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reports in the materials of Kazakhstan and foreign international conferences – </w:t>
            </w:r>
            <w:r w:rsidR="004F4F11" w:rsidRPr="00E070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10</w:t>
            </w:r>
          </w:p>
        </w:tc>
      </w:tr>
      <w:tr w:rsidR="0057044B" w:rsidRPr="001C0751" w14:paraId="3EE49267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AD5F7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F50A0" w14:textId="77777777" w:rsidR="0007250E" w:rsidRPr="00E070B6" w:rsidRDefault="0007250E" w:rsidP="00D42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Number of monographs, textbooks, single-handedly written teaching aids Published over the past 5 years 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4F98A" w14:textId="43612091" w:rsidR="00C23EC9" w:rsidRPr="00E070B6" w:rsidRDefault="00C23EC9" w:rsidP="00D42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4F11" w:rsidRPr="00E070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BC5FD6" w:rsidRPr="00E070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23AF1C" w14:textId="114C051C" w:rsidR="001C6F76" w:rsidRPr="00E070B6" w:rsidRDefault="001C6F76" w:rsidP="00D42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Textbook written in co-authorship-1;</w:t>
            </w:r>
          </w:p>
          <w:p w14:paraId="6BC6273B" w14:textId="4943117E" w:rsidR="006A69F0" w:rsidRPr="00E070B6" w:rsidRDefault="006A69F0" w:rsidP="00D42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Monograph-1;</w:t>
            </w:r>
          </w:p>
          <w:p w14:paraId="2BDBE544" w14:textId="6567E4C8" w:rsidR="0007250E" w:rsidRPr="00E070B6" w:rsidRDefault="006A69F0" w:rsidP="00D42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Textbook co-</w:t>
            </w:r>
          </w:p>
          <w:p w14:paraId="454D3B31" w14:textId="75CD72D5" w:rsidR="00F2354F" w:rsidRPr="001C0751" w:rsidRDefault="00CE6436" w:rsidP="009D4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authored-Single-authored textbooks</w:t>
            </w:r>
            <w:r w:rsidR="00BC083F" w:rsidRPr="00E07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044B" w:rsidRPr="0091484F" w14:paraId="50BD987B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15DD2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92A6A" w14:textId="77777777" w:rsidR="0007250E" w:rsidRPr="00E070B6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Persons who defended their dissertation under his supervision and have an academic degree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CBD4C" w14:textId="68371A93" w:rsidR="002E42D3" w:rsidRPr="001C0751" w:rsidRDefault="002E42D3" w:rsidP="002E42D3">
            <w:pPr>
              <w:spacing w:after="0" w:line="240" w:lineRule="auto"/>
              <w:ind w:left="71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07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Were scientific consultants </w:t>
            </w:r>
            <w:r w:rsidRPr="00E07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to three</w:t>
            </w:r>
            <w:r w:rsidRPr="00E07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candidates for the degree of Candidate 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of Technical Sciences:</w:t>
            </w:r>
          </w:p>
          <w:p w14:paraId="6456E3AD" w14:textId="77777777" w:rsidR="002E42D3" w:rsidRPr="001C0751" w:rsidRDefault="002E42D3" w:rsidP="002E42D3">
            <w:pPr>
              <w:pStyle w:val="a4"/>
              <w:numPr>
                <w:ilvl w:val="0"/>
                <w:numId w:val="7"/>
              </w:numPr>
              <w:tabs>
                <w:tab w:val="left" w:pos="387"/>
              </w:tabs>
              <w:spacing w:after="0" w:line="240" w:lineRule="auto"/>
              <w:ind w:left="71" w:right="12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Ashirbaeva Irina Anatolyevna (Protocol No. 12 of 27.11.2008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Ministry of Education and Science of the Republic of Kazakhstan, State Committee No. 0002353</w:t>
            </w:r>
            <w:r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7469403B" w14:textId="77777777" w:rsidR="002E42D3" w:rsidRPr="001C0751" w:rsidRDefault="002E42D3" w:rsidP="002E42D3">
            <w:pPr>
              <w:pStyle w:val="a4"/>
              <w:spacing w:after="0" w:line="240" w:lineRule="auto"/>
              <w:ind w:left="71"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2. Koishigul Tusupbek Kuanyshbekovich (Protocol No. 2 of 25.02.2009,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Ministry of Education and Science of the Republic of Kazakhstan, State Committee No. 0002591</w:t>
            </w:r>
            <w:r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0D3570D6" w14:textId="77777777" w:rsidR="0007250E" w:rsidRPr="001C0751" w:rsidRDefault="002E42D3" w:rsidP="002E42D3">
            <w:pPr>
              <w:pStyle w:val="a4"/>
              <w:spacing w:after="0" w:line="240" w:lineRule="auto"/>
              <w:ind w:left="71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Turkebayev Mukangali Zhambulovich </w:t>
            </w:r>
            <w:r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(Protocol No. 2 of 23.11.2009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Ministry of Education and Science of the Republic of Kazakhstan, State Committee No. 0003631</w:t>
            </w:r>
            <w:r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604DCCAB" w14:textId="43E88E9B" w:rsidR="002E42D3" w:rsidRPr="001C0751" w:rsidRDefault="002E42D3" w:rsidP="002E42D3">
            <w:pPr>
              <w:pStyle w:val="a4"/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and </w:t>
            </w:r>
            <w:r w:rsidRPr="001C07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one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2282" w:rsidRPr="00E070B6">
              <w:rPr>
                <w:rFonts w:ascii="Times New Roman" w:hAnsi="Times New Roman" w:cs="Times New Roman"/>
                <w:sz w:val="24"/>
                <w:szCs w:val="24"/>
              </w:rPr>
              <w:t>Doctor of Philosophy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(PhD):</w:t>
            </w:r>
          </w:p>
          <w:p w14:paraId="52ACF847" w14:textId="43F6F395" w:rsidR="002E42D3" w:rsidRPr="00E070B6" w:rsidRDefault="002E42D3" w:rsidP="002E42D3">
            <w:pPr>
              <w:pStyle w:val="a4"/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Elshibekov Amandyk Makambetuly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(order No. 228 of May 26, 2023 awarded the degree of Doctor of Philosophy (PhD) in specialty 6D071300 - "Transport, transport equipment and technologies").</w:t>
            </w:r>
          </w:p>
        </w:tc>
      </w:tr>
      <w:tr w:rsidR="0057044B" w:rsidRPr="0091484F" w14:paraId="6C0C6280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F749D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95AEA" w14:textId="77777777" w:rsidR="0007250E" w:rsidRPr="00E070B6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Laureates, prize-winners of national, international, and foreign competitions, exhibitions, festivals, awards, and Olympiads prepared under his leadership.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986A9" w14:textId="52A2BB10" w:rsidR="009007D0" w:rsidRPr="00E070B6" w:rsidRDefault="009007D0" w:rsidP="009007D0">
            <w:pPr>
              <w:spacing w:after="0" w:line="228" w:lineRule="auto"/>
              <w:ind w:left="74" w:right="125"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In December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070B6">
                <w:rPr>
                  <w:rFonts w:ascii="Times New Roman" w:hAnsi="Times New Roman" w:cs="Times New Roman"/>
                  <w:sz w:val="24"/>
                  <w:szCs w:val="24"/>
                </w:rPr>
                <w:t>2011</w:t>
              </w:r>
            </w:smartTag>
            <w:r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, under the guidance of Musaev </w:t>
            </w:r>
            <w:r w:rsidR="00FB53EC" w:rsidRPr="00E070B6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.S., a student of V-09-2 Mykhanzharova A. B. took part in the republican contest " Innovative Kazakhstan "in the nomination" Social Ideas", as a finalist of the contest Mykhanzharova A. B. was awarded a valuable prize – a laptop.</w:t>
            </w:r>
          </w:p>
          <w:p w14:paraId="4F6FABE1" w14:textId="6AF7408F" w:rsidR="009007D0" w:rsidRPr="00E070B6" w:rsidRDefault="009007D0" w:rsidP="009007D0">
            <w:pPr>
              <w:spacing w:after="0" w:line="228" w:lineRule="auto"/>
              <w:ind w:left="74" w:right="125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In the 2016-17 academic year, the research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work of a master's student of the MN-TT-V-15 degree S. Zh.Omarova</w:t>
            </w:r>
            <w:r w:rsidR="00FB5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was awarded a Diploma of the Ministry of Education and Science of the Republic of Kazakhstan of the II degree according to the results of the Republican competition of research works of undergraduates</w:t>
            </w:r>
            <w:r w:rsidR="00E070B6"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D7B49E" w14:textId="60145BDD" w:rsidR="009D4713" w:rsidRPr="00E070B6" w:rsidRDefault="009007D0" w:rsidP="009007D0">
            <w:pPr>
              <w:tabs>
                <w:tab w:val="left" w:pos="24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     In the 2017-18 academic year, the research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work of a master's student of the MST-TT-V-16 degree S. B. Sabitova 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was awarded a Diploma of the Ministry of Education and Science of the Republic of Kazakhstan of the II degree according to the results of the Republican competition of research works of undergraduates</w:t>
            </w:r>
            <w:r w:rsidR="00E070B6"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6F9DFB" w14:textId="7EBD878A" w:rsidR="003B2541" w:rsidRPr="00E070B6" w:rsidRDefault="005B3A87" w:rsidP="009007D0">
            <w:pPr>
              <w:tabs>
                <w:tab w:val="left" w:pos="24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     In the 2019-20 academic year, student Temirkhanova N. Zh. took 1st place in the contest of creative works "I am a future railway worker" at the Kurgan Institute of Railway Transport, Russia.</w:t>
            </w:r>
          </w:p>
        </w:tc>
      </w:tr>
      <w:tr w:rsidR="0057044B" w:rsidRPr="001C0751" w14:paraId="3E3FC636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BAACF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486AA" w14:textId="77777777" w:rsidR="0007250E" w:rsidRPr="00E070B6" w:rsidRDefault="0007250E" w:rsidP="000D7B9B">
            <w:pPr>
              <w:spacing w:after="0" w:line="216" w:lineRule="auto"/>
              <w:ind w:left="62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There are no champions or prize-winners of World University Games, Asian Championships and Asian Games, European, World and Olympic Games champion or prize-winner trained under his leadership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EFBD3" w14:textId="0AF984B7" w:rsidR="0007250E" w:rsidRPr="001C0751" w:rsidRDefault="006268EB" w:rsidP="00170D8E">
            <w:pPr>
              <w:pStyle w:val="a5"/>
              <w:tabs>
                <w:tab w:val="left" w:pos="359"/>
              </w:tabs>
              <w:spacing w:after="0" w:line="228" w:lineRule="auto"/>
              <w:ind w:left="0" w:right="106"/>
              <w:jc w:val="center"/>
              <w:rPr>
                <w:sz w:val="24"/>
                <w:szCs w:val="24"/>
              </w:rPr>
            </w:pPr>
            <w:r w:rsidRPr="001C0751">
              <w:rPr>
                <w:sz w:val="24"/>
                <w:szCs w:val="24"/>
              </w:rPr>
              <w:t>No</w:t>
            </w:r>
          </w:p>
        </w:tc>
      </w:tr>
      <w:tr w:rsidR="0057044B" w:rsidRPr="0091484F" w14:paraId="52707652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3E97F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18BD9" w14:textId="77777777" w:rsidR="0007250E" w:rsidRPr="001C0751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Additional</w:t>
            </w:r>
            <w:r w:rsidR="00831644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76D27" w14:textId="4ED36941" w:rsidR="00170D8E" w:rsidRPr="00E070B6" w:rsidRDefault="00170D8E" w:rsidP="00170D8E">
            <w:pPr>
              <w:spacing w:after="0" w:line="228" w:lineRule="auto"/>
              <w:ind w:left="74" w:right="12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state educational and work programs of doctoral studies in the specialty</w:t>
            </w:r>
            <w:r w:rsidRPr="00E070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070B6">
              <w:rPr>
                <w:rFonts w:ascii="Times New Roman" w:eastAsia="Times New Roman" w:hAnsi="Times New Roman" w:cs="Times New Roman"/>
                <w:sz w:val="24"/>
                <w:szCs w:val="24"/>
              </w:rPr>
              <w:t>071300 – "Transport, transport equipment and technologies" (2014-2015), and the standard curriculum of doctoral disciplines, "Mathematical modeling of dynamic processes of transport equipment", "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Fundamentals of scientific experiments" (</w:t>
            </w:r>
            <w:r w:rsidRPr="00E070B6">
              <w:rPr>
                <w:rFonts w:ascii="Times New Roman" w:eastAsia="Times New Roman" w:hAnsi="Times New Roman" w:cs="Times New Roman"/>
                <w:sz w:val="24"/>
                <w:szCs w:val="24"/>
              </w:rPr>
              <w:t>co-authored, 2015-2016).</w:t>
            </w:r>
          </w:p>
          <w:p w14:paraId="1F935E6A" w14:textId="3AD40061" w:rsidR="00170D8E" w:rsidRPr="001C0751" w:rsidRDefault="00170D8E" w:rsidP="00170D8E">
            <w:pPr>
              <w:spacing w:after="0" w:line="228" w:lineRule="auto"/>
              <w:ind w:left="74" w:right="12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Member of the</w:t>
            </w:r>
            <w:r w:rsidR="008A06AD" w:rsidRPr="008A0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r w:rsidR="00E070B6"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project-published three articles (2013-2014). He is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Deputy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главного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Editor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-in-Chief of the scientific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1C0751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Journal of Mechanical Engineering, Automation and Control Systems" 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 xml:space="preserve">(ISI WoS &amp; Scopus indexing). </w:t>
            </w:r>
          </w:p>
          <w:p w14:paraId="7399DBE6" w14:textId="18E992FB" w:rsidR="00170D8E" w:rsidRPr="00E070B6" w:rsidRDefault="00170D8E" w:rsidP="00170D8E">
            <w:pPr>
              <w:pStyle w:val="a4"/>
              <w:tabs>
                <w:tab w:val="left" w:pos="851"/>
              </w:tabs>
              <w:spacing w:after="0" w:line="228" w:lineRule="auto"/>
              <w:ind w:left="74" w:right="12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Member of the editorial board of the journals "Vestnik </w:t>
            </w:r>
            <w:r w:rsidR="00E070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KazATС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and "Transport and Roads of Kazakhstan"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38A607D" w14:textId="50E543B5" w:rsidR="00170D8E" w:rsidRPr="00E070B6" w:rsidRDefault="00170D8E" w:rsidP="00170D8E">
            <w:pPr>
              <w:pStyle w:val="a5"/>
              <w:tabs>
                <w:tab w:val="left" w:pos="359"/>
              </w:tabs>
              <w:spacing w:after="0" w:line="228" w:lineRule="auto"/>
              <w:ind w:left="123" w:right="106"/>
              <w:jc w:val="both"/>
              <w:rPr>
                <w:sz w:val="24"/>
                <w:szCs w:val="24"/>
                <w:lang w:val="en-US"/>
              </w:rPr>
            </w:pPr>
            <w:r w:rsidRPr="00E070B6">
              <w:rPr>
                <w:sz w:val="24"/>
                <w:szCs w:val="24"/>
                <w:lang w:val="en-US"/>
              </w:rPr>
              <w:t xml:space="preserve"> He was awarded the diploma of the III degree "The best teacher of </w:t>
            </w:r>
            <w:r w:rsidR="00E070B6">
              <w:rPr>
                <w:sz w:val="24"/>
                <w:szCs w:val="24"/>
                <w:lang w:val="en-US"/>
              </w:rPr>
              <w:t>KazATС</w:t>
            </w:r>
            <w:r w:rsidRPr="00E070B6">
              <w:rPr>
                <w:sz w:val="24"/>
                <w:szCs w:val="24"/>
                <w:lang w:val="en-US"/>
              </w:rPr>
              <w:t xml:space="preserve"> 2010-2011 academic year", the diploma of the I degree "The best teacher of </w:t>
            </w:r>
            <w:r w:rsidR="00E070B6">
              <w:rPr>
                <w:sz w:val="24"/>
                <w:szCs w:val="24"/>
                <w:lang w:val="en-US"/>
              </w:rPr>
              <w:t>KazATС</w:t>
            </w:r>
            <w:r w:rsidRPr="00E070B6">
              <w:rPr>
                <w:sz w:val="24"/>
                <w:szCs w:val="24"/>
                <w:lang w:val="en-US"/>
              </w:rPr>
              <w:t xml:space="preserve"> 2011-2012", certificates of commendation of the management of </w:t>
            </w:r>
            <w:r w:rsidR="00E070B6">
              <w:rPr>
                <w:sz w:val="24"/>
                <w:szCs w:val="24"/>
                <w:lang w:val="en-US"/>
              </w:rPr>
              <w:t>KazATС</w:t>
            </w:r>
            <w:r w:rsidRPr="00E070B6">
              <w:rPr>
                <w:sz w:val="24"/>
                <w:szCs w:val="24"/>
                <w:lang w:val="en-US"/>
              </w:rPr>
              <w:t xml:space="preserve"> in 2013 and 2016. </w:t>
            </w:r>
            <w:r w:rsidRPr="00E070B6">
              <w:rPr>
                <w:color w:val="000000"/>
                <w:sz w:val="24"/>
                <w:szCs w:val="24"/>
                <w:lang w:val="en-US"/>
              </w:rPr>
              <w:t xml:space="preserve">He has a letter of thanks from the Chairman of the Management Board of JSC NC "KTZ" K. Alpysbayev (2018); </w:t>
            </w:r>
            <w:r w:rsidRPr="00E070B6">
              <w:rPr>
                <w:sz w:val="24"/>
                <w:szCs w:val="24"/>
                <w:lang w:val="en-US"/>
              </w:rPr>
              <w:t xml:space="preserve">A medal in honor of the 145th </w:t>
            </w:r>
            <w:r w:rsidRPr="00E070B6">
              <w:rPr>
                <w:sz w:val="24"/>
                <w:szCs w:val="24"/>
                <w:lang w:val="en-US"/>
              </w:rPr>
              <w:lastRenderedPageBreak/>
              <w:t>anniversary of the company</w:t>
            </w:r>
            <w:r w:rsidR="00E070B6" w:rsidRPr="00E070B6">
              <w:rPr>
                <w:sz w:val="24"/>
                <w:szCs w:val="24"/>
                <w:lang w:val="en-US"/>
              </w:rPr>
              <w:t xml:space="preserve"> </w:t>
            </w:r>
            <w:r w:rsidRPr="00E070B6">
              <w:rPr>
                <w:sz w:val="24"/>
                <w:szCs w:val="24"/>
                <w:lang w:val="en-US"/>
              </w:rPr>
              <w:t>Tynyshpaev, 2024 (No. 134, dated 01.10.24)</w:t>
            </w:r>
            <w:r w:rsidRPr="001C0751">
              <w:rPr>
                <w:sz w:val="24"/>
                <w:szCs w:val="24"/>
                <w:lang w:val="kk-KZ"/>
              </w:rPr>
              <w:t>;</w:t>
            </w:r>
          </w:p>
          <w:p w14:paraId="47826728" w14:textId="77777777" w:rsidR="00170D8E" w:rsidRPr="00E070B6" w:rsidRDefault="00170D8E" w:rsidP="00170D8E">
            <w:pPr>
              <w:pStyle w:val="a5"/>
              <w:spacing w:after="0" w:line="228" w:lineRule="auto"/>
              <w:ind w:left="74" w:right="125" w:firstLine="284"/>
              <w:jc w:val="both"/>
              <w:rPr>
                <w:sz w:val="24"/>
                <w:szCs w:val="24"/>
                <w:lang w:val="en-US"/>
              </w:rPr>
            </w:pPr>
            <w:r w:rsidRPr="00E070B6">
              <w:rPr>
                <w:sz w:val="24"/>
                <w:szCs w:val="24"/>
                <w:lang w:val="en-US"/>
              </w:rPr>
              <w:t>Is the holder of the title "Best University teacher-2018".</w:t>
            </w:r>
          </w:p>
          <w:p w14:paraId="70BC3DF9" w14:textId="77777777" w:rsidR="00170D8E" w:rsidRPr="00E070B6" w:rsidRDefault="00170D8E" w:rsidP="00170D8E">
            <w:pPr>
              <w:spacing w:after="0" w:line="228" w:lineRule="auto"/>
              <w:ind w:left="74" w:right="12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On an ongoing basis, participates in the implementation of state-funded and contractual research projects:</w:t>
            </w:r>
          </w:p>
          <w:p w14:paraId="00A26E80" w14:textId="77777777" w:rsidR="00170D8E" w:rsidRPr="00E070B6" w:rsidRDefault="00170D8E" w:rsidP="00170D8E">
            <w:pPr>
              <w:spacing w:after="0" w:line="228" w:lineRule="auto"/>
              <w:ind w:left="74" w:right="12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1) "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Expertise of technological processes of JSC "Vagonservice" (2011);</w:t>
            </w:r>
          </w:p>
          <w:p w14:paraId="7275CD7C" w14:textId="77777777" w:rsidR="00170D8E" w:rsidRPr="00E070B6" w:rsidRDefault="00170D8E" w:rsidP="00170D8E">
            <w:pPr>
              <w:spacing w:after="0" w:line="228" w:lineRule="auto"/>
              <w:ind w:left="74" w:right="12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2) "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Manual for maintenance of cars "Talgo" on the way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"(2013);</w:t>
            </w:r>
          </w:p>
          <w:p w14:paraId="2C58F59A" w14:textId="77777777" w:rsidR="00170D8E" w:rsidRPr="00E070B6" w:rsidRDefault="00170D8E" w:rsidP="00170D8E">
            <w:pPr>
              <w:spacing w:after="0" w:line="228" w:lineRule="auto"/>
              <w:ind w:left="74" w:right="12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3) "Manual for major repairs (KR1) of passenger cars model 25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 produced in China" (2014);</w:t>
            </w:r>
          </w:p>
          <w:p w14:paraId="6BD2D502" w14:textId="61F6FA3F" w:rsidR="00170D8E" w:rsidRPr="00E070B6" w:rsidRDefault="00170D8E" w:rsidP="00170D8E">
            <w:pPr>
              <w:spacing w:after="0" w:line="228" w:lineRule="auto"/>
              <w:ind w:left="74" w:right="12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E070B6">
              <w:rPr>
                <w:rFonts w:ascii="Times New Roman" w:hAnsi="Times New Roman" w:cs="Times New Roman"/>
                <w:caps/>
                <w:sz w:val="24"/>
                <w:szCs w:val="24"/>
              </w:rPr>
              <w:t>"D</w:t>
            </w:r>
            <w:r w:rsidR="00E070B6"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etermination of </w:t>
            </w: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the expediency of converting freight cars to new-generation bogies with taper bearings of the cassette type" (2014);</w:t>
            </w:r>
          </w:p>
          <w:p w14:paraId="1242932F" w14:textId="77777777" w:rsidR="00170D8E" w:rsidRPr="00E070B6" w:rsidRDefault="00170D8E" w:rsidP="00170D8E">
            <w:pPr>
              <w:spacing w:after="0" w:line="228" w:lineRule="auto"/>
              <w:ind w:left="74" w:right="12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5) Development of the interstate standard " Railway transporters. General technical conditions" (2014-2015).</w:t>
            </w:r>
          </w:p>
          <w:p w14:paraId="7492D7D7" w14:textId="2B530AC6" w:rsidR="000D4E92" w:rsidRPr="00E070B6" w:rsidRDefault="00170D8E" w:rsidP="000D4E92">
            <w:pPr>
              <w:widowControl w:val="0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 xml:space="preserve"> 6) The contractor of the grant financing project for scientific and (or) scientific and technical projects for 2024-2026 AP23487831 "Modeling of track irregularities for studying the dynamic qualities of the crew of innovative rolling stock based on theoretical and experimental studies" </w:t>
            </w:r>
          </w:p>
          <w:p w14:paraId="5133FCA7" w14:textId="24BEF388" w:rsidR="00170D8E" w:rsidRPr="00E070B6" w:rsidRDefault="000D4E92" w:rsidP="000D4E92">
            <w:pPr>
              <w:widowControl w:val="0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6">
              <w:rPr>
                <w:rFonts w:ascii="Times New Roman" w:hAnsi="Times New Roman" w:cs="Times New Roman"/>
                <w:sz w:val="24"/>
                <w:szCs w:val="24"/>
              </w:rPr>
              <w:t>Participated in the work of the Expert Councils of the KKSON of the Ministry of Education and Science of the Republic of Kazakhstan " Construction transport and Light Industry "(2017-2018), "Engineering and Engineering" (2019);</w:t>
            </w:r>
          </w:p>
        </w:tc>
      </w:tr>
    </w:tbl>
    <w:p w14:paraId="3F7817F5" w14:textId="77777777" w:rsidR="008E058A" w:rsidRPr="00E070B6" w:rsidRDefault="008E058A" w:rsidP="00855E94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232E325" w14:textId="1D462BB9" w:rsidR="00457D7E" w:rsidRPr="00E070B6" w:rsidRDefault="000D4E92" w:rsidP="00855E94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070B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604743F" w14:textId="77777777" w:rsidR="00457D7E" w:rsidRPr="00E070B6" w:rsidRDefault="00457D7E" w:rsidP="00855E94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F53683F" w14:textId="3E9015BE" w:rsidR="00046E84" w:rsidRPr="00E070B6" w:rsidRDefault="00D8234E" w:rsidP="00D8234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070B6">
        <w:rPr>
          <w:rFonts w:ascii="Times New Roman" w:hAnsi="Times New Roman" w:cs="Times New Roman"/>
          <w:b/>
          <w:color w:val="000000"/>
          <w:sz w:val="24"/>
          <w:szCs w:val="24"/>
        </w:rPr>
        <w:t>Head of the Department</w:t>
      </w:r>
      <w:r w:rsidR="00E8307E" w:rsidRPr="00E070B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"</w:t>
      </w:r>
      <w:r w:rsidR="000D4E92" w:rsidRPr="00E070B6">
        <w:rPr>
          <w:rFonts w:ascii="Times New Roman" w:hAnsi="Times New Roman"/>
          <w:b/>
          <w:color w:val="000000"/>
          <w:sz w:val="24"/>
          <w:szCs w:val="24"/>
        </w:rPr>
        <w:t>Rolling Stock</w:t>
      </w:r>
      <w:r w:rsidR="000D7B9B" w:rsidRPr="00E070B6">
        <w:rPr>
          <w:rFonts w:ascii="Times New Roman" w:hAnsi="Times New Roman" w:cs="Times New Roman"/>
          <w:b/>
          <w:color w:val="000000"/>
          <w:sz w:val="23"/>
          <w:szCs w:val="23"/>
        </w:rPr>
        <w:t>" _____________________ Dzhakupov N. R.</w:t>
      </w:r>
    </w:p>
    <w:p w14:paraId="0DD2FE0D" w14:textId="2595B57F" w:rsidR="00D04BA7" w:rsidRPr="00D079A5" w:rsidRDefault="00D8234E" w:rsidP="009824BF">
      <w:pPr>
        <w:spacing w:after="0" w:line="240" w:lineRule="auto"/>
        <w:ind w:left="5040" w:firstLine="63"/>
        <w:rPr>
          <w:rFonts w:ascii="Times New Roman" w:hAnsi="Times New Roman" w:cs="Times New Roman"/>
          <w:sz w:val="23"/>
          <w:szCs w:val="23"/>
          <w:lang w:val="ru-RU"/>
        </w:rPr>
      </w:pPr>
      <w:r w:rsidRPr="00E070B6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 xml:space="preserve"> </w:t>
      </w:r>
      <w:r w:rsidRPr="001C0751">
        <w:rPr>
          <w:rFonts w:ascii="Times New Roman" w:hAnsi="Times New Roman" w:cs="Times New Roman"/>
          <w:color w:val="000000"/>
          <w:sz w:val="23"/>
          <w:szCs w:val="23"/>
          <w:vertAlign w:val="superscript"/>
          <w:lang w:val="ru-RU"/>
        </w:rPr>
        <w:t>(Full name)</w:t>
      </w:r>
    </w:p>
    <w:sectPr w:rsidR="00D04BA7" w:rsidRPr="00D079A5" w:rsidSect="00E75446">
      <w:footerReference w:type="default" r:id="rId8"/>
      <w:pgSz w:w="12240" w:h="15840"/>
      <w:pgMar w:top="567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28D8D" w14:textId="77777777" w:rsidR="00C50DA8" w:rsidRDefault="00C50DA8" w:rsidP="00926BC4">
      <w:pPr>
        <w:spacing w:after="0" w:line="240" w:lineRule="auto"/>
      </w:pPr>
      <w:r>
        <w:separator/>
      </w:r>
    </w:p>
  </w:endnote>
  <w:endnote w:type="continuationSeparator" w:id="0">
    <w:p w14:paraId="76BA5CA9" w14:textId="77777777" w:rsidR="00C50DA8" w:rsidRDefault="00C50DA8" w:rsidP="0092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0689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5B8DEC3" w14:textId="77777777" w:rsidR="00926BC4" w:rsidRPr="00926BC4" w:rsidRDefault="009266D3" w:rsidP="00926BC4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26B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26BC4" w:rsidRPr="00926BC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6B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B777A" w:rsidRPr="002B777A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926BC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D42C8" w14:textId="77777777" w:rsidR="00C50DA8" w:rsidRDefault="00C50DA8" w:rsidP="00926BC4">
      <w:pPr>
        <w:spacing w:after="0" w:line="240" w:lineRule="auto"/>
      </w:pPr>
      <w:r>
        <w:separator/>
      </w:r>
    </w:p>
  </w:footnote>
  <w:footnote w:type="continuationSeparator" w:id="0">
    <w:p w14:paraId="00116186" w14:textId="77777777" w:rsidR="00C50DA8" w:rsidRDefault="00C50DA8" w:rsidP="00926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4BAB"/>
    <w:multiLevelType w:val="hybridMultilevel"/>
    <w:tmpl w:val="3E00E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7509"/>
    <w:multiLevelType w:val="hybridMultilevel"/>
    <w:tmpl w:val="CECE70D4"/>
    <w:lvl w:ilvl="0" w:tplc="FF668C46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" w15:restartNumberingAfterBreak="0">
    <w:nsid w:val="218F1734"/>
    <w:multiLevelType w:val="hybridMultilevel"/>
    <w:tmpl w:val="A7002046"/>
    <w:lvl w:ilvl="0" w:tplc="CD223E18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 w15:restartNumberingAfterBreak="0">
    <w:nsid w:val="34E0231C"/>
    <w:multiLevelType w:val="hybridMultilevel"/>
    <w:tmpl w:val="E0D4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027B8"/>
    <w:multiLevelType w:val="hybridMultilevel"/>
    <w:tmpl w:val="952EA7F0"/>
    <w:lvl w:ilvl="0" w:tplc="005412AC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7E9867B8"/>
    <w:multiLevelType w:val="hybridMultilevel"/>
    <w:tmpl w:val="3C32BDB4"/>
    <w:lvl w:ilvl="0" w:tplc="0826E71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F6"/>
    <w:rsid w:val="00003071"/>
    <w:rsid w:val="00011DD0"/>
    <w:rsid w:val="00021404"/>
    <w:rsid w:val="000240F2"/>
    <w:rsid w:val="000440DF"/>
    <w:rsid w:val="00045196"/>
    <w:rsid w:val="000463F8"/>
    <w:rsid w:val="00046E84"/>
    <w:rsid w:val="00052FF3"/>
    <w:rsid w:val="00057921"/>
    <w:rsid w:val="000627F4"/>
    <w:rsid w:val="0006610D"/>
    <w:rsid w:val="00067A39"/>
    <w:rsid w:val="00072220"/>
    <w:rsid w:val="0007250E"/>
    <w:rsid w:val="000806FE"/>
    <w:rsid w:val="0008433D"/>
    <w:rsid w:val="000A0637"/>
    <w:rsid w:val="000A063C"/>
    <w:rsid w:val="000A6C94"/>
    <w:rsid w:val="000B690F"/>
    <w:rsid w:val="000C0D41"/>
    <w:rsid w:val="000C1359"/>
    <w:rsid w:val="000C6365"/>
    <w:rsid w:val="000D4E92"/>
    <w:rsid w:val="000D7B9B"/>
    <w:rsid w:val="000E2950"/>
    <w:rsid w:val="000E4431"/>
    <w:rsid w:val="000F2F86"/>
    <w:rsid w:val="000F463B"/>
    <w:rsid w:val="00106104"/>
    <w:rsid w:val="00127614"/>
    <w:rsid w:val="00135019"/>
    <w:rsid w:val="00136094"/>
    <w:rsid w:val="00142FBB"/>
    <w:rsid w:val="00146D2F"/>
    <w:rsid w:val="00167E2D"/>
    <w:rsid w:val="00170D8E"/>
    <w:rsid w:val="00184DCF"/>
    <w:rsid w:val="001A16A1"/>
    <w:rsid w:val="001A706E"/>
    <w:rsid w:val="001B2D72"/>
    <w:rsid w:val="001B4E4E"/>
    <w:rsid w:val="001C0751"/>
    <w:rsid w:val="001C2D92"/>
    <w:rsid w:val="001C6F76"/>
    <w:rsid w:val="001C6FB3"/>
    <w:rsid w:val="001D2F5C"/>
    <w:rsid w:val="001E06DD"/>
    <w:rsid w:val="001F13E7"/>
    <w:rsid w:val="001F19B8"/>
    <w:rsid w:val="001F4AC3"/>
    <w:rsid w:val="001F5C95"/>
    <w:rsid w:val="00204F4F"/>
    <w:rsid w:val="00205491"/>
    <w:rsid w:val="00211A44"/>
    <w:rsid w:val="00220E89"/>
    <w:rsid w:val="002327E6"/>
    <w:rsid w:val="0023296B"/>
    <w:rsid w:val="0023306D"/>
    <w:rsid w:val="00236FF9"/>
    <w:rsid w:val="00240D98"/>
    <w:rsid w:val="0027658C"/>
    <w:rsid w:val="00291367"/>
    <w:rsid w:val="002966EE"/>
    <w:rsid w:val="002A0008"/>
    <w:rsid w:val="002A0460"/>
    <w:rsid w:val="002B3B89"/>
    <w:rsid w:val="002B6F3D"/>
    <w:rsid w:val="002B777A"/>
    <w:rsid w:val="002C4FF2"/>
    <w:rsid w:val="002C59E3"/>
    <w:rsid w:val="002E42D3"/>
    <w:rsid w:val="002F6BC4"/>
    <w:rsid w:val="00312CA7"/>
    <w:rsid w:val="00335362"/>
    <w:rsid w:val="00340670"/>
    <w:rsid w:val="00347015"/>
    <w:rsid w:val="00362AD0"/>
    <w:rsid w:val="00363D53"/>
    <w:rsid w:val="00364B30"/>
    <w:rsid w:val="00365581"/>
    <w:rsid w:val="00373570"/>
    <w:rsid w:val="003738D5"/>
    <w:rsid w:val="00376C29"/>
    <w:rsid w:val="00382F38"/>
    <w:rsid w:val="0039318B"/>
    <w:rsid w:val="0039361C"/>
    <w:rsid w:val="003B1F10"/>
    <w:rsid w:val="003B2541"/>
    <w:rsid w:val="003B3277"/>
    <w:rsid w:val="003B5CF7"/>
    <w:rsid w:val="003C4092"/>
    <w:rsid w:val="003C50E3"/>
    <w:rsid w:val="003D13DD"/>
    <w:rsid w:val="003D59A3"/>
    <w:rsid w:val="003D6162"/>
    <w:rsid w:val="003D6554"/>
    <w:rsid w:val="003E2C6E"/>
    <w:rsid w:val="003E36BF"/>
    <w:rsid w:val="00412A8E"/>
    <w:rsid w:val="00434768"/>
    <w:rsid w:val="00437D62"/>
    <w:rsid w:val="00451A43"/>
    <w:rsid w:val="00454786"/>
    <w:rsid w:val="00457D7E"/>
    <w:rsid w:val="0046056C"/>
    <w:rsid w:val="0046595E"/>
    <w:rsid w:val="00470507"/>
    <w:rsid w:val="00471DF1"/>
    <w:rsid w:val="0048708D"/>
    <w:rsid w:val="004A6581"/>
    <w:rsid w:val="004B72F1"/>
    <w:rsid w:val="004C3347"/>
    <w:rsid w:val="004C7678"/>
    <w:rsid w:val="004D75E4"/>
    <w:rsid w:val="004F4F11"/>
    <w:rsid w:val="00524FC9"/>
    <w:rsid w:val="00536FEC"/>
    <w:rsid w:val="005445E9"/>
    <w:rsid w:val="00547494"/>
    <w:rsid w:val="005511DE"/>
    <w:rsid w:val="005562D0"/>
    <w:rsid w:val="00563DB6"/>
    <w:rsid w:val="00570209"/>
    <w:rsid w:val="0057044B"/>
    <w:rsid w:val="00570F63"/>
    <w:rsid w:val="005976B8"/>
    <w:rsid w:val="005A04EE"/>
    <w:rsid w:val="005B3A87"/>
    <w:rsid w:val="005B5607"/>
    <w:rsid w:val="005B79F5"/>
    <w:rsid w:val="005B7B1F"/>
    <w:rsid w:val="005C2282"/>
    <w:rsid w:val="005E6804"/>
    <w:rsid w:val="005E6D3D"/>
    <w:rsid w:val="005E7037"/>
    <w:rsid w:val="005F77EF"/>
    <w:rsid w:val="00610866"/>
    <w:rsid w:val="0061425D"/>
    <w:rsid w:val="0061593E"/>
    <w:rsid w:val="006268EB"/>
    <w:rsid w:val="00632CE5"/>
    <w:rsid w:val="00653580"/>
    <w:rsid w:val="00654E89"/>
    <w:rsid w:val="006551D2"/>
    <w:rsid w:val="0065611B"/>
    <w:rsid w:val="00673DA8"/>
    <w:rsid w:val="006A64AA"/>
    <w:rsid w:val="006A69F0"/>
    <w:rsid w:val="006B5EF3"/>
    <w:rsid w:val="006C0794"/>
    <w:rsid w:val="006C4693"/>
    <w:rsid w:val="006C766E"/>
    <w:rsid w:val="006D616F"/>
    <w:rsid w:val="006E59E3"/>
    <w:rsid w:val="006F39DE"/>
    <w:rsid w:val="00700985"/>
    <w:rsid w:val="00705D28"/>
    <w:rsid w:val="00716B9A"/>
    <w:rsid w:val="0073079F"/>
    <w:rsid w:val="007315D1"/>
    <w:rsid w:val="007320D9"/>
    <w:rsid w:val="0073577A"/>
    <w:rsid w:val="00737CE9"/>
    <w:rsid w:val="00740E47"/>
    <w:rsid w:val="00741EFC"/>
    <w:rsid w:val="00750E7D"/>
    <w:rsid w:val="00755131"/>
    <w:rsid w:val="00762F8E"/>
    <w:rsid w:val="007657B0"/>
    <w:rsid w:val="007806DC"/>
    <w:rsid w:val="00780C8F"/>
    <w:rsid w:val="0078285D"/>
    <w:rsid w:val="00782E60"/>
    <w:rsid w:val="007B0141"/>
    <w:rsid w:val="00807DA2"/>
    <w:rsid w:val="00810BCD"/>
    <w:rsid w:val="00825739"/>
    <w:rsid w:val="00831644"/>
    <w:rsid w:val="00840D47"/>
    <w:rsid w:val="0084178E"/>
    <w:rsid w:val="00855E94"/>
    <w:rsid w:val="0086609C"/>
    <w:rsid w:val="00870737"/>
    <w:rsid w:val="00870BBB"/>
    <w:rsid w:val="0087173E"/>
    <w:rsid w:val="00875AD6"/>
    <w:rsid w:val="00881FD7"/>
    <w:rsid w:val="008842ED"/>
    <w:rsid w:val="008A06AD"/>
    <w:rsid w:val="008C575C"/>
    <w:rsid w:val="008D1EB2"/>
    <w:rsid w:val="008D5308"/>
    <w:rsid w:val="008D5B84"/>
    <w:rsid w:val="008E058A"/>
    <w:rsid w:val="008E7801"/>
    <w:rsid w:val="008F3AA4"/>
    <w:rsid w:val="009007D0"/>
    <w:rsid w:val="0091484F"/>
    <w:rsid w:val="00921481"/>
    <w:rsid w:val="009266D3"/>
    <w:rsid w:val="009269F7"/>
    <w:rsid w:val="00926BC4"/>
    <w:rsid w:val="00927AF6"/>
    <w:rsid w:val="00933FBD"/>
    <w:rsid w:val="00934A14"/>
    <w:rsid w:val="009360D6"/>
    <w:rsid w:val="0094268E"/>
    <w:rsid w:val="00943E2F"/>
    <w:rsid w:val="0094467A"/>
    <w:rsid w:val="00945A4A"/>
    <w:rsid w:val="00950E88"/>
    <w:rsid w:val="00954577"/>
    <w:rsid w:val="00956499"/>
    <w:rsid w:val="009630D2"/>
    <w:rsid w:val="00963177"/>
    <w:rsid w:val="00965CAA"/>
    <w:rsid w:val="009820A8"/>
    <w:rsid w:val="009824BF"/>
    <w:rsid w:val="009B67EE"/>
    <w:rsid w:val="009D4713"/>
    <w:rsid w:val="009D5E73"/>
    <w:rsid w:val="009D67C6"/>
    <w:rsid w:val="009E1A81"/>
    <w:rsid w:val="009E29B7"/>
    <w:rsid w:val="009E3113"/>
    <w:rsid w:val="009E7D0C"/>
    <w:rsid w:val="009F3C35"/>
    <w:rsid w:val="009F6072"/>
    <w:rsid w:val="00A01FED"/>
    <w:rsid w:val="00A1381B"/>
    <w:rsid w:val="00A14101"/>
    <w:rsid w:val="00A27269"/>
    <w:rsid w:val="00A316CA"/>
    <w:rsid w:val="00A33A19"/>
    <w:rsid w:val="00A354D9"/>
    <w:rsid w:val="00A354EE"/>
    <w:rsid w:val="00A3789A"/>
    <w:rsid w:val="00A47298"/>
    <w:rsid w:val="00A55381"/>
    <w:rsid w:val="00A60CEF"/>
    <w:rsid w:val="00A70875"/>
    <w:rsid w:val="00A70C1F"/>
    <w:rsid w:val="00A7155C"/>
    <w:rsid w:val="00A86B24"/>
    <w:rsid w:val="00AB1CA3"/>
    <w:rsid w:val="00AC06BF"/>
    <w:rsid w:val="00AC3341"/>
    <w:rsid w:val="00AD37FF"/>
    <w:rsid w:val="00AD7022"/>
    <w:rsid w:val="00AE0C77"/>
    <w:rsid w:val="00AE29F0"/>
    <w:rsid w:val="00AE4E2C"/>
    <w:rsid w:val="00AF74DB"/>
    <w:rsid w:val="00B0057C"/>
    <w:rsid w:val="00B02A8A"/>
    <w:rsid w:val="00B06C7D"/>
    <w:rsid w:val="00B113F4"/>
    <w:rsid w:val="00B240C6"/>
    <w:rsid w:val="00B31447"/>
    <w:rsid w:val="00B32463"/>
    <w:rsid w:val="00B427D0"/>
    <w:rsid w:val="00B51CA2"/>
    <w:rsid w:val="00B67435"/>
    <w:rsid w:val="00B674A3"/>
    <w:rsid w:val="00B973FE"/>
    <w:rsid w:val="00BA771C"/>
    <w:rsid w:val="00BB6454"/>
    <w:rsid w:val="00BB710B"/>
    <w:rsid w:val="00BC083F"/>
    <w:rsid w:val="00BC5ACA"/>
    <w:rsid w:val="00BC5FD6"/>
    <w:rsid w:val="00BD27AD"/>
    <w:rsid w:val="00BD4AA4"/>
    <w:rsid w:val="00BD61EE"/>
    <w:rsid w:val="00BD7243"/>
    <w:rsid w:val="00BE3B8F"/>
    <w:rsid w:val="00BF358F"/>
    <w:rsid w:val="00C03522"/>
    <w:rsid w:val="00C065FD"/>
    <w:rsid w:val="00C11FBB"/>
    <w:rsid w:val="00C23EC9"/>
    <w:rsid w:val="00C30A07"/>
    <w:rsid w:val="00C310DD"/>
    <w:rsid w:val="00C42D1C"/>
    <w:rsid w:val="00C50DA8"/>
    <w:rsid w:val="00C54692"/>
    <w:rsid w:val="00C56C73"/>
    <w:rsid w:val="00C65136"/>
    <w:rsid w:val="00C96A28"/>
    <w:rsid w:val="00C97DCE"/>
    <w:rsid w:val="00CA664C"/>
    <w:rsid w:val="00CC05F8"/>
    <w:rsid w:val="00CC5D14"/>
    <w:rsid w:val="00CD0C07"/>
    <w:rsid w:val="00CD296A"/>
    <w:rsid w:val="00CE6436"/>
    <w:rsid w:val="00CE65FA"/>
    <w:rsid w:val="00CE6F3C"/>
    <w:rsid w:val="00CF4312"/>
    <w:rsid w:val="00D04BA7"/>
    <w:rsid w:val="00D079A5"/>
    <w:rsid w:val="00D24CF3"/>
    <w:rsid w:val="00D3011F"/>
    <w:rsid w:val="00D30258"/>
    <w:rsid w:val="00D42DCF"/>
    <w:rsid w:val="00D44389"/>
    <w:rsid w:val="00D55B9C"/>
    <w:rsid w:val="00D574F1"/>
    <w:rsid w:val="00D63319"/>
    <w:rsid w:val="00D73429"/>
    <w:rsid w:val="00D8234E"/>
    <w:rsid w:val="00D871E5"/>
    <w:rsid w:val="00DA33D5"/>
    <w:rsid w:val="00DB5000"/>
    <w:rsid w:val="00DB7A53"/>
    <w:rsid w:val="00DC4876"/>
    <w:rsid w:val="00DD18F6"/>
    <w:rsid w:val="00DE5419"/>
    <w:rsid w:val="00DF00B7"/>
    <w:rsid w:val="00DF7B89"/>
    <w:rsid w:val="00E070B6"/>
    <w:rsid w:val="00E10627"/>
    <w:rsid w:val="00E16142"/>
    <w:rsid w:val="00E21BDF"/>
    <w:rsid w:val="00E33E62"/>
    <w:rsid w:val="00E51B23"/>
    <w:rsid w:val="00E576CE"/>
    <w:rsid w:val="00E63EC5"/>
    <w:rsid w:val="00E73850"/>
    <w:rsid w:val="00E75446"/>
    <w:rsid w:val="00E75532"/>
    <w:rsid w:val="00E8307E"/>
    <w:rsid w:val="00E96F26"/>
    <w:rsid w:val="00EB0191"/>
    <w:rsid w:val="00EC6D08"/>
    <w:rsid w:val="00EC7B82"/>
    <w:rsid w:val="00EC7D85"/>
    <w:rsid w:val="00EC7D9A"/>
    <w:rsid w:val="00ED53FB"/>
    <w:rsid w:val="00EE0219"/>
    <w:rsid w:val="00EE2B94"/>
    <w:rsid w:val="00F0083F"/>
    <w:rsid w:val="00F02344"/>
    <w:rsid w:val="00F0277D"/>
    <w:rsid w:val="00F04C10"/>
    <w:rsid w:val="00F069C3"/>
    <w:rsid w:val="00F126F9"/>
    <w:rsid w:val="00F159A3"/>
    <w:rsid w:val="00F2354F"/>
    <w:rsid w:val="00F414AD"/>
    <w:rsid w:val="00F65C87"/>
    <w:rsid w:val="00F75C2E"/>
    <w:rsid w:val="00F7725A"/>
    <w:rsid w:val="00F779D0"/>
    <w:rsid w:val="00F81BDB"/>
    <w:rsid w:val="00F95C84"/>
    <w:rsid w:val="00F979D9"/>
    <w:rsid w:val="00FA43A6"/>
    <w:rsid w:val="00FA6E9A"/>
    <w:rsid w:val="00FB115D"/>
    <w:rsid w:val="00FB4E84"/>
    <w:rsid w:val="00FB53EC"/>
    <w:rsid w:val="00FC036A"/>
    <w:rsid w:val="00FC0B64"/>
    <w:rsid w:val="00FC3183"/>
    <w:rsid w:val="00FC33EF"/>
    <w:rsid w:val="00FE2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E6420F"/>
  <w15:docId w15:val="{22DBB86A-3CE3-4194-9A80-B5CE4274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50E"/>
    <w:pPr>
      <w:spacing w:after="200" w:line="276" w:lineRule="auto"/>
    </w:pPr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autoRedefine/>
    <w:rsid w:val="0007250E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E6F3C"/>
    <w:pPr>
      <w:ind w:left="720"/>
      <w:contextualSpacing/>
    </w:pPr>
  </w:style>
  <w:style w:type="paragraph" w:styleId="a5">
    <w:name w:val="Body Text Indent"/>
    <w:basedOn w:val="a"/>
    <w:link w:val="a6"/>
    <w:rsid w:val="0043476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43476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926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6BC4"/>
    <w:rPr>
      <w:rFonts w:ascii="Consolas" w:eastAsia="Consolas" w:hAnsi="Consolas" w:cs="Consolas"/>
    </w:rPr>
  </w:style>
  <w:style w:type="paragraph" w:styleId="a9">
    <w:name w:val="footer"/>
    <w:basedOn w:val="a"/>
    <w:link w:val="aa"/>
    <w:uiPriority w:val="99"/>
    <w:unhideWhenUsed/>
    <w:rsid w:val="00926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6BC4"/>
    <w:rPr>
      <w:rFonts w:ascii="Consolas" w:eastAsia="Consolas" w:hAnsi="Consolas" w:cs="Consolas"/>
    </w:rPr>
  </w:style>
  <w:style w:type="character" w:styleId="ab">
    <w:name w:val="Strong"/>
    <w:basedOn w:val="a0"/>
    <w:uiPriority w:val="22"/>
    <w:qFormat/>
    <w:rsid w:val="00E07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E60B-096F-4F21-A381-3F9265A4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Janat Musaev</cp:lastModifiedBy>
  <cp:revision>49</cp:revision>
  <cp:lastPrinted>2020-11-22T21:21:00Z</cp:lastPrinted>
  <dcterms:created xsi:type="dcterms:W3CDTF">2024-11-28T11:14:00Z</dcterms:created>
  <dcterms:modified xsi:type="dcterms:W3CDTF">2026-01-21T08:43:00Z</dcterms:modified>
</cp:coreProperties>
</file>